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E" w:rsidRPr="005E2164" w:rsidRDefault="00585B1E" w:rsidP="003F757D">
      <w:pPr>
        <w:ind w:left="540" w:hanging="5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E2164" w:rsidRPr="005E2164" w:rsidRDefault="00F55EBE" w:rsidP="005E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inorHAnsi" w:eastAsia="Calibri" w:hAnsiTheme="minorHAnsi"/>
          <w:sz w:val="22"/>
          <w:szCs w:val="22"/>
          <w:lang w:val="nl-BE" w:eastAsia="en-US"/>
        </w:rPr>
      </w:pPr>
      <w:r>
        <w:rPr>
          <w:rFonts w:asciiTheme="minorHAnsi" w:eastAsia="Calibri" w:hAnsiTheme="minorHAnsi"/>
          <w:b/>
          <w:sz w:val="22"/>
          <w:szCs w:val="22"/>
          <w:lang w:val="nl-BE" w:eastAsia="en-US"/>
        </w:rPr>
        <w:t>7.3.</w:t>
      </w:r>
      <w:r w:rsidR="005E2164" w:rsidRPr="005E2164">
        <w:rPr>
          <w:rFonts w:asciiTheme="minorHAnsi" w:eastAsia="Calibri" w:hAnsiTheme="minorHAnsi"/>
          <w:b/>
          <w:sz w:val="22"/>
          <w:szCs w:val="22"/>
          <w:lang w:val="nl-BE" w:eastAsia="en-US"/>
        </w:rPr>
        <w:t xml:space="preserve"> Output </w:t>
      </w:r>
      <w:proofErr w:type="spellStart"/>
      <w:r w:rsidR="005E2164" w:rsidRPr="005E2164">
        <w:rPr>
          <w:rFonts w:asciiTheme="minorHAnsi" w:eastAsia="Calibri" w:hAnsiTheme="minorHAnsi"/>
          <w:b/>
          <w:sz w:val="22"/>
          <w:szCs w:val="22"/>
          <w:lang w:val="nl-BE" w:eastAsia="en-US"/>
        </w:rPr>
        <w:t>zorggebonden</w:t>
      </w:r>
      <w:proofErr w:type="spellEnd"/>
      <w:r w:rsidR="005E2164" w:rsidRPr="005E2164">
        <w:rPr>
          <w:rFonts w:asciiTheme="minorHAnsi" w:eastAsia="Calibri" w:hAnsiTheme="minorHAnsi"/>
          <w:b/>
          <w:sz w:val="22"/>
          <w:szCs w:val="22"/>
          <w:lang w:val="nl-BE" w:eastAsia="en-US"/>
        </w:rPr>
        <w:t xml:space="preserve"> personeelspunten tot en met eind </w:t>
      </w:r>
      <w:r>
        <w:rPr>
          <w:rFonts w:asciiTheme="minorHAnsi" w:eastAsia="Calibri" w:hAnsiTheme="minorHAnsi"/>
          <w:b/>
          <w:sz w:val="22"/>
          <w:szCs w:val="22"/>
          <w:lang w:val="nl-BE" w:eastAsia="en-US"/>
        </w:rPr>
        <w:t>decem</w:t>
      </w:r>
      <w:r w:rsidR="005E2164">
        <w:rPr>
          <w:rFonts w:asciiTheme="minorHAnsi" w:eastAsia="Calibri" w:hAnsiTheme="minorHAnsi"/>
          <w:b/>
          <w:sz w:val="22"/>
          <w:szCs w:val="22"/>
          <w:lang w:val="nl-BE" w:eastAsia="en-US"/>
        </w:rPr>
        <w:t>ber</w:t>
      </w:r>
      <w:r w:rsidR="005E2164" w:rsidRPr="005E2164">
        <w:rPr>
          <w:rFonts w:asciiTheme="minorHAnsi" w:eastAsia="Calibri" w:hAnsiTheme="minorHAnsi"/>
          <w:b/>
          <w:sz w:val="22"/>
          <w:szCs w:val="22"/>
          <w:lang w:val="nl-BE" w:eastAsia="en-US"/>
        </w:rPr>
        <w:t xml:space="preserve"> 2019</w:t>
      </w:r>
    </w:p>
    <w:p w:rsidR="005E2164" w:rsidRPr="005E2164" w:rsidRDefault="005E2164" w:rsidP="005E2164">
      <w:pPr>
        <w:spacing w:after="160"/>
        <w:rPr>
          <w:rFonts w:asciiTheme="minorHAnsi" w:eastAsia="Calibri" w:hAnsiTheme="minorHAnsi"/>
          <w:sz w:val="22"/>
          <w:szCs w:val="22"/>
          <w:lang w:val="nl-BE" w:eastAsia="en-US"/>
        </w:rPr>
      </w:pP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>In onderliggend document geven we een overzicht van onze output (uitgedrukt in personeelspunten). Hierbij maken we een onderscheid tussen de output relevant v</w:t>
      </w:r>
      <w:r w:rsidR="002E26C5">
        <w:rPr>
          <w:rFonts w:asciiTheme="minorHAnsi" w:eastAsia="Calibri" w:hAnsiTheme="minorHAnsi"/>
          <w:sz w:val="22"/>
          <w:szCs w:val="22"/>
          <w:lang w:val="nl-BE" w:eastAsia="en-US"/>
        </w:rPr>
        <w:t>oor de begroting van het lopend</w:t>
      </w: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 xml:space="preserve"> jaar en een toekomstige berekening van de personeelspunten voor het komend jaar. </w:t>
      </w:r>
    </w:p>
    <w:p w:rsidR="005E2164" w:rsidRPr="005E2164" w:rsidRDefault="005E2164" w:rsidP="005E2164">
      <w:pPr>
        <w:spacing w:after="160"/>
        <w:rPr>
          <w:rFonts w:asciiTheme="minorHAnsi" w:eastAsia="Calibri" w:hAnsiTheme="minorHAnsi"/>
          <w:sz w:val="22"/>
          <w:szCs w:val="22"/>
          <w:u w:val="single"/>
          <w:lang w:val="nl-BE" w:eastAsia="en-US"/>
        </w:rPr>
      </w:pPr>
      <w:r w:rsidRPr="005E2164">
        <w:rPr>
          <w:rFonts w:asciiTheme="minorHAnsi" w:eastAsia="Calibri" w:hAnsiTheme="minorHAnsi"/>
          <w:sz w:val="22"/>
          <w:szCs w:val="22"/>
          <w:u w:val="single"/>
          <w:lang w:val="nl-BE" w:eastAsia="en-US"/>
        </w:rPr>
        <w:t>1</w:t>
      </w:r>
      <w:r w:rsidR="002E26C5">
        <w:rPr>
          <w:rFonts w:asciiTheme="minorHAnsi" w:eastAsia="Calibri" w:hAnsiTheme="minorHAnsi"/>
          <w:sz w:val="22"/>
          <w:szCs w:val="22"/>
          <w:u w:val="single"/>
          <w:lang w:val="nl-BE" w:eastAsia="en-US"/>
        </w:rPr>
        <w:t xml:space="preserve">) Financiële berekening voor </w:t>
      </w:r>
      <w:r w:rsidRPr="005E2164">
        <w:rPr>
          <w:rFonts w:asciiTheme="minorHAnsi" w:eastAsia="Calibri" w:hAnsiTheme="minorHAnsi"/>
          <w:sz w:val="22"/>
          <w:szCs w:val="22"/>
          <w:u w:val="single"/>
          <w:lang w:val="nl-BE" w:eastAsia="en-US"/>
        </w:rPr>
        <w:t>lopende boekjaar/begroting 2019</w:t>
      </w:r>
    </w:p>
    <w:p w:rsidR="005E2164" w:rsidRPr="005E2164" w:rsidRDefault="005E2164" w:rsidP="007300F3">
      <w:pPr>
        <w:rPr>
          <w:rFonts w:asciiTheme="minorHAnsi" w:eastAsia="Calibri" w:hAnsiTheme="minorHAnsi"/>
          <w:sz w:val="22"/>
          <w:szCs w:val="22"/>
          <w:u w:val="single"/>
          <w:lang w:val="nl-BE" w:eastAsia="en-US"/>
        </w:rPr>
      </w:pP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 xml:space="preserve">Begin 2019 werd een personeelscontingent toegewezen aan de diensthoofden (13.882 personeelspunten). Op de restpunten na (eind </w:t>
      </w:r>
      <w:r w:rsidR="001F12AF">
        <w:rPr>
          <w:rFonts w:asciiTheme="minorHAnsi" w:eastAsia="Calibri" w:hAnsiTheme="minorHAnsi"/>
          <w:sz w:val="22"/>
          <w:szCs w:val="22"/>
          <w:lang w:val="nl-BE" w:eastAsia="en-US"/>
        </w:rPr>
        <w:t>dec</w:t>
      </w:r>
      <w:r>
        <w:rPr>
          <w:rFonts w:asciiTheme="minorHAnsi" w:eastAsia="Calibri" w:hAnsiTheme="minorHAnsi"/>
          <w:sz w:val="22"/>
          <w:szCs w:val="22"/>
          <w:lang w:val="nl-BE" w:eastAsia="en-US"/>
        </w:rPr>
        <w:t>ember</w:t>
      </w: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 xml:space="preserve"> bedraagt dit </w:t>
      </w:r>
      <w:r w:rsidR="001F12AF">
        <w:rPr>
          <w:rFonts w:asciiTheme="minorHAnsi" w:eastAsia="Calibri" w:hAnsiTheme="minorHAnsi"/>
          <w:sz w:val="22"/>
          <w:szCs w:val="22"/>
          <w:lang w:val="nl-BE" w:eastAsia="en-US"/>
        </w:rPr>
        <w:t>482</w:t>
      </w:r>
      <w:r>
        <w:rPr>
          <w:rFonts w:asciiTheme="minorHAnsi" w:eastAsia="Calibri" w:hAnsiTheme="minorHAnsi"/>
          <w:sz w:val="22"/>
          <w:szCs w:val="22"/>
          <w:lang w:val="nl-BE" w:eastAsia="en-US"/>
        </w:rPr>
        <w:t xml:space="preserve"> punten</w:t>
      </w: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 xml:space="preserve"> !!) worden deze personeelsmiddelen ingezet in de voorziening. Voor detail restpunten verwijzen we naar </w:t>
      </w:r>
      <w:r w:rsidRPr="005E2164">
        <w:rPr>
          <w:rFonts w:asciiTheme="minorHAnsi" w:eastAsia="Calibri" w:hAnsiTheme="minorHAnsi"/>
          <w:color w:val="000000"/>
          <w:sz w:val="22"/>
          <w:szCs w:val="22"/>
          <w:lang w:val="nl-BE" w:eastAsia="en-US"/>
        </w:rPr>
        <w:t>ommezijde</w:t>
      </w: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>.</w:t>
      </w:r>
      <w:r w:rsidR="007300F3">
        <w:rPr>
          <w:rFonts w:asciiTheme="minorHAnsi" w:eastAsia="Calibri" w:hAnsiTheme="minorHAnsi"/>
          <w:sz w:val="22"/>
          <w:szCs w:val="22"/>
          <w:lang w:val="nl-BE" w:eastAsia="en-US"/>
        </w:rPr>
        <w:t xml:space="preserve"> </w:t>
      </w: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>De vraag is nu of wij dit aantal ingezette personeelspunten wel gesubsidieerd zullen krijgen. We krijgen de subsidies afhankelijk van het aantal (en zorgzwaarte) cliënten die wij ondersteunen.</w:t>
      </w:r>
      <w:r w:rsidR="00AB0378">
        <w:rPr>
          <w:rFonts w:asciiTheme="minorHAnsi" w:eastAsia="Calibri" w:hAnsiTheme="minorHAnsi"/>
          <w:sz w:val="22"/>
          <w:szCs w:val="22"/>
          <w:lang w:val="nl-BE" w:eastAsia="en-US"/>
        </w:rPr>
        <w:t xml:space="preserve"> </w:t>
      </w: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 xml:space="preserve">Eind </w:t>
      </w:r>
      <w:r w:rsidR="001F12AF">
        <w:rPr>
          <w:rFonts w:asciiTheme="minorHAnsi" w:eastAsia="Calibri" w:hAnsiTheme="minorHAnsi"/>
          <w:sz w:val="22"/>
          <w:szCs w:val="22"/>
          <w:lang w:val="nl-BE" w:eastAsia="en-US"/>
        </w:rPr>
        <w:t>dec</w:t>
      </w:r>
      <w:r>
        <w:rPr>
          <w:rFonts w:asciiTheme="minorHAnsi" w:eastAsia="Calibri" w:hAnsiTheme="minorHAnsi"/>
          <w:sz w:val="22"/>
          <w:szCs w:val="22"/>
          <w:lang w:val="nl-BE" w:eastAsia="en-US"/>
        </w:rPr>
        <w:t>ember</w:t>
      </w: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 xml:space="preserve"> realiseerden we </w:t>
      </w:r>
      <w:r w:rsidR="00984FE9">
        <w:rPr>
          <w:rFonts w:asciiTheme="minorHAnsi" w:eastAsia="Calibri" w:hAnsiTheme="minorHAnsi"/>
          <w:sz w:val="22"/>
          <w:szCs w:val="22"/>
          <w:lang w:val="nl-BE" w:eastAsia="en-US"/>
        </w:rPr>
        <w:t>13.90</w:t>
      </w:r>
      <w:r w:rsidR="001F12AF">
        <w:rPr>
          <w:rFonts w:asciiTheme="minorHAnsi" w:eastAsia="Calibri" w:hAnsiTheme="minorHAnsi"/>
          <w:sz w:val="22"/>
          <w:szCs w:val="22"/>
          <w:lang w:val="nl-BE" w:eastAsia="en-US"/>
        </w:rPr>
        <w:t>5</w:t>
      </w: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 xml:space="preserve"> punten</w:t>
      </w:r>
      <w:r w:rsidR="001F12AF">
        <w:rPr>
          <w:rFonts w:asciiTheme="minorHAnsi" w:eastAsia="Calibri" w:hAnsiTheme="minorHAnsi"/>
          <w:sz w:val="22"/>
          <w:szCs w:val="22"/>
          <w:lang w:val="nl-BE" w:eastAsia="en-US"/>
        </w:rPr>
        <w:t xml:space="preserve">. </w:t>
      </w:r>
      <w:r w:rsidRPr="005E2164">
        <w:rPr>
          <w:rFonts w:asciiTheme="minorHAnsi" w:eastAsia="Calibri" w:hAnsiTheme="minorHAnsi"/>
          <w:b/>
          <w:sz w:val="22"/>
          <w:szCs w:val="22"/>
          <w:lang w:val="nl-BE" w:eastAsia="en-US"/>
        </w:rPr>
        <w:t xml:space="preserve">Eind </w:t>
      </w:r>
      <w:r w:rsidR="001F12AF">
        <w:rPr>
          <w:rFonts w:asciiTheme="minorHAnsi" w:eastAsia="Calibri" w:hAnsiTheme="minorHAnsi"/>
          <w:b/>
          <w:sz w:val="22"/>
          <w:szCs w:val="22"/>
          <w:lang w:val="nl-BE" w:eastAsia="en-US"/>
        </w:rPr>
        <w:t>dec</w:t>
      </w:r>
      <w:r>
        <w:rPr>
          <w:rFonts w:asciiTheme="minorHAnsi" w:eastAsia="Calibri" w:hAnsiTheme="minorHAnsi"/>
          <w:b/>
          <w:sz w:val="22"/>
          <w:szCs w:val="22"/>
          <w:lang w:val="nl-BE" w:eastAsia="en-US"/>
        </w:rPr>
        <w:t>ember</w:t>
      </w:r>
      <w:r w:rsidRPr="005E2164">
        <w:rPr>
          <w:rFonts w:asciiTheme="minorHAnsi" w:eastAsia="Calibri" w:hAnsiTheme="minorHAnsi"/>
          <w:b/>
          <w:sz w:val="22"/>
          <w:szCs w:val="22"/>
          <w:lang w:val="nl-BE" w:eastAsia="en-US"/>
        </w:rPr>
        <w:t xml:space="preserve"> zitten we met een positief financieel saldo van  </w:t>
      </w:r>
      <w:r w:rsidR="00984FE9">
        <w:rPr>
          <w:rFonts w:asciiTheme="minorHAnsi" w:eastAsia="Calibri" w:hAnsiTheme="minorHAnsi"/>
          <w:b/>
          <w:sz w:val="22"/>
          <w:szCs w:val="22"/>
          <w:lang w:val="nl-BE" w:eastAsia="en-US"/>
        </w:rPr>
        <w:t>5</w:t>
      </w:r>
      <w:r w:rsidR="001F12AF">
        <w:rPr>
          <w:rFonts w:asciiTheme="minorHAnsi" w:eastAsia="Calibri" w:hAnsiTheme="minorHAnsi"/>
          <w:b/>
          <w:sz w:val="22"/>
          <w:szCs w:val="22"/>
          <w:lang w:val="nl-BE" w:eastAsia="en-US"/>
        </w:rPr>
        <w:t>05</w:t>
      </w:r>
      <w:r w:rsidR="00984FE9">
        <w:rPr>
          <w:rFonts w:asciiTheme="minorHAnsi" w:eastAsia="Calibri" w:hAnsiTheme="minorHAnsi"/>
          <w:b/>
          <w:sz w:val="22"/>
          <w:szCs w:val="22"/>
          <w:lang w:val="nl-BE" w:eastAsia="en-US"/>
        </w:rPr>
        <w:t xml:space="preserve"> </w:t>
      </w:r>
      <w:r w:rsidRPr="005E2164">
        <w:rPr>
          <w:rFonts w:asciiTheme="minorHAnsi" w:eastAsia="Calibri" w:hAnsiTheme="minorHAnsi"/>
          <w:b/>
          <w:sz w:val="22"/>
          <w:szCs w:val="22"/>
          <w:lang w:val="nl-BE" w:eastAsia="en-US"/>
        </w:rPr>
        <w:t>personeelspunten</w:t>
      </w: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>.  Deze punten komen bovenop de voorgestelde begroting (aan 865€/punt).</w:t>
      </w: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br/>
      </w:r>
      <w:r>
        <w:rPr>
          <w:rFonts w:asciiTheme="minorHAnsi" w:eastAsia="Calibri" w:hAnsiTheme="minorHAnsi"/>
          <w:sz w:val="22"/>
          <w:szCs w:val="22"/>
          <w:u w:val="single"/>
          <w:lang w:val="nl-BE" w:eastAsia="en-US"/>
        </w:rPr>
        <w:br/>
      </w:r>
      <w:r w:rsidRPr="005E2164">
        <w:rPr>
          <w:rFonts w:asciiTheme="minorHAnsi" w:eastAsia="Calibri" w:hAnsiTheme="minorHAnsi"/>
          <w:sz w:val="22"/>
          <w:szCs w:val="22"/>
          <w:u w:val="single"/>
          <w:lang w:val="nl-BE" w:eastAsia="en-US"/>
        </w:rPr>
        <w:t>2) Toekomstgerichte berekening van het aantal personeelspunten voor 2020</w:t>
      </w:r>
    </w:p>
    <w:p w:rsidR="005E2164" w:rsidRPr="005E2164" w:rsidRDefault="005E2164" w:rsidP="005E2164">
      <w:pPr>
        <w:spacing w:after="160"/>
        <w:rPr>
          <w:rFonts w:asciiTheme="minorHAnsi" w:eastAsia="Calibri" w:hAnsiTheme="minorHAnsi"/>
          <w:sz w:val="22"/>
          <w:szCs w:val="22"/>
          <w:lang w:val="nl-BE" w:eastAsia="en-US"/>
        </w:rPr>
      </w:pPr>
      <w:r w:rsidRPr="005E2164">
        <w:rPr>
          <w:rFonts w:asciiTheme="minorHAnsi" w:eastAsia="Calibri" w:hAnsiTheme="minorHAnsi"/>
          <w:sz w:val="22"/>
          <w:szCs w:val="22"/>
          <w:lang w:val="nl-BE" w:eastAsia="en-US"/>
        </w:rPr>
        <w:t>Via deze opvolging zien we of we als voorziening aan het groeien/krimpen zijn</w:t>
      </w:r>
      <w:r w:rsidR="00AB0378">
        <w:rPr>
          <w:rFonts w:asciiTheme="minorHAnsi" w:eastAsia="Calibri" w:hAnsiTheme="minorHAnsi"/>
          <w:sz w:val="22"/>
          <w:szCs w:val="22"/>
          <w:lang w:val="nl-BE" w:eastAsia="en-US"/>
        </w:rPr>
        <w:t>.</w:t>
      </w:r>
    </w:p>
    <w:tbl>
      <w:tblPr>
        <w:tblStyle w:val="Tabelraster"/>
        <w:tblW w:w="1317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  <w:gridCol w:w="1323"/>
        <w:gridCol w:w="1323"/>
        <w:gridCol w:w="2484"/>
      </w:tblGrid>
      <w:tr w:rsidR="00AB0378" w:rsidRPr="005E2164" w:rsidTr="004C15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78" w:rsidRDefault="00AB0378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Output Zorgpunten </w:t>
            </w:r>
          </w:p>
          <w:p w:rsidR="00AB0378" w:rsidRPr="005E2164" w:rsidRDefault="00AB0378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(</w:t>
            </w:r>
            <w:proofErr w:type="spellStart"/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excl</w:t>
            </w:r>
            <w:proofErr w:type="spellEnd"/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RTH, VIA, s</w:t>
            </w: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ociale</w:t>
            </w: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maribel</w:t>
            </w:r>
            <w:proofErr w:type="spellEnd"/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78" w:rsidRPr="005E2164" w:rsidRDefault="00AB0378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31.03.2019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78" w:rsidRPr="005E2164" w:rsidRDefault="00AB0378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30.05.2019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78" w:rsidRPr="005E2164" w:rsidRDefault="00AB0378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31.07.2019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78" w:rsidRPr="005E2164" w:rsidRDefault="00AB0378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3</w:t>
            </w: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0</w:t>
            </w: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.</w:t>
            </w: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09</w:t>
            </w: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78" w:rsidRPr="005E2164" w:rsidRDefault="00AB0378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31.12.2019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78" w:rsidRDefault="00AB0378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01.01.2020</w:t>
            </w:r>
          </w:p>
          <w:p w:rsidR="008F6973" w:rsidRPr="005E2164" w:rsidRDefault="008F6973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</w:tr>
      <w:tr w:rsidR="00AB0378" w:rsidRPr="005E2164" w:rsidTr="004C154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78" w:rsidRPr="005E2164" w:rsidRDefault="00AB0378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1) Financiële berekening voor het lopende boekjaar/begroting </w:t>
            </w:r>
            <w:r w:rsidRPr="005E2164"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78" w:rsidRPr="005E2164" w:rsidRDefault="00AB0378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</w:tr>
      <w:tr w:rsidR="004C1547" w:rsidRPr="005E2164" w:rsidTr="004C15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Verworven huidige cliënten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13.857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13.857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13.835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Pr="005E2164" w:rsidRDefault="004C1547" w:rsidP="00923337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13.906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Default="004C1547" w:rsidP="00923337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13.905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47" w:rsidRDefault="004C1547" w:rsidP="00923337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NIET HETZELFDE </w:t>
            </w:r>
            <w:r w:rsidR="006D714C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wegens </w:t>
            </w: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br/>
              <w:t>* wijziging verworven punten (daling door CF2)</w:t>
            </w:r>
          </w:p>
          <w:p w:rsidR="004C1547" w:rsidRDefault="004C1547" w:rsidP="004C1547">
            <w:pPr>
              <w:rPr>
                <w:rFonts w:asciiTheme="minorHAnsi" w:eastAsia="Calibri" w:hAnsiTheme="minorHAnsi"/>
                <w:lang w:val="nl-BE" w:eastAsia="nl-BE"/>
              </w:rPr>
            </w:pPr>
            <w:r w:rsidRPr="004C1547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*</w:t>
            </w:r>
            <w:r>
              <w:rPr>
                <w:rFonts w:asciiTheme="minorHAnsi" w:eastAsia="Calibri" w:hAnsiTheme="minorHAnsi"/>
                <w:lang w:val="nl-BE" w:eastAsia="nl-BE"/>
              </w:rPr>
              <w:t xml:space="preserve"> andere personeelsinzet</w:t>
            </w:r>
            <w:r w:rsidR="006D714C">
              <w:rPr>
                <w:rFonts w:asciiTheme="minorHAnsi" w:eastAsia="Calibri" w:hAnsiTheme="minorHAnsi"/>
                <w:lang w:val="nl-BE" w:eastAsia="nl-BE"/>
              </w:rPr>
              <w:t xml:space="preserve"> (</w:t>
            </w:r>
            <w:proofErr w:type="spellStart"/>
            <w:r w:rsidR="006D714C">
              <w:rPr>
                <w:rFonts w:asciiTheme="minorHAnsi" w:eastAsia="Calibri" w:hAnsiTheme="minorHAnsi"/>
                <w:lang w:val="nl-BE" w:eastAsia="nl-BE"/>
              </w:rPr>
              <w:t>cf</w:t>
            </w:r>
            <w:proofErr w:type="spellEnd"/>
            <w:r w:rsidR="006D714C">
              <w:rPr>
                <w:rFonts w:asciiTheme="minorHAnsi" w:eastAsia="Calibri" w:hAnsiTheme="minorHAnsi"/>
                <w:lang w:val="nl-BE" w:eastAsia="nl-BE"/>
              </w:rPr>
              <w:t xml:space="preserve"> RVB oktober 2019)</w:t>
            </w:r>
          </w:p>
          <w:p w:rsidR="004C1547" w:rsidRDefault="004C1547" w:rsidP="004C1547">
            <w:pPr>
              <w:rPr>
                <w:rFonts w:asciiTheme="minorHAnsi" w:eastAsia="Calibri" w:hAnsiTheme="minorHAnsi"/>
                <w:lang w:val="nl-BE" w:eastAsia="nl-BE"/>
              </w:rPr>
            </w:pPr>
            <w:r>
              <w:rPr>
                <w:rFonts w:asciiTheme="minorHAnsi" w:eastAsia="Calibri" w:hAnsiTheme="minorHAnsi"/>
                <w:lang w:val="nl-BE" w:eastAsia="nl-BE"/>
              </w:rPr>
              <w:t xml:space="preserve">* in begroting zijn </w:t>
            </w:r>
            <w:proofErr w:type="spellStart"/>
            <w:r>
              <w:rPr>
                <w:rFonts w:asciiTheme="minorHAnsi" w:eastAsia="Calibri" w:hAnsiTheme="minorHAnsi"/>
                <w:lang w:val="nl-BE" w:eastAsia="nl-BE"/>
              </w:rPr>
              <w:t>itt</w:t>
            </w:r>
            <w:proofErr w:type="spellEnd"/>
            <w:r>
              <w:rPr>
                <w:rFonts w:asciiTheme="minorHAnsi" w:eastAsia="Calibri" w:hAnsiTheme="minorHAnsi"/>
                <w:lang w:val="nl-BE" w:eastAsia="nl-BE"/>
              </w:rPr>
              <w:t xml:space="preserve"> voorheen 300 restpunten ingerekend</w:t>
            </w:r>
            <w:r w:rsidR="006D714C">
              <w:rPr>
                <w:rFonts w:asciiTheme="minorHAnsi" w:eastAsia="Calibri" w:hAnsiTheme="minorHAnsi"/>
                <w:lang w:val="nl-BE" w:eastAsia="nl-BE"/>
              </w:rPr>
              <w:t>.</w:t>
            </w:r>
          </w:p>
          <w:p w:rsidR="006D714C" w:rsidRPr="004C1547" w:rsidRDefault="006D714C" w:rsidP="004C1547">
            <w:pPr>
              <w:rPr>
                <w:rFonts w:asciiTheme="minorHAnsi" w:eastAsia="Calibri" w:hAnsiTheme="minorHAnsi"/>
                <w:lang w:val="nl-BE" w:eastAsia="nl-BE"/>
              </w:rPr>
            </w:pPr>
          </w:p>
        </w:tc>
      </w:tr>
      <w:tr w:rsidR="004C1547" w:rsidRPr="005E2164" w:rsidTr="004C15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-  Personeelsinzet 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- 13.882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- 13.882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- 13.882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- 13.882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- 13.882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547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</w:tr>
      <w:tr w:rsidR="004C1547" w:rsidRPr="005E2164" w:rsidTr="004C15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+ Restpunten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+  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+ 373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+ 475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 + 500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Default="004C1547" w:rsidP="00AB0378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+ 482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547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</w:tr>
      <w:tr w:rsidR="004C1547" w:rsidRPr="005E2164" w:rsidTr="004C15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Resultaat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+  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</w:t>
            </w:r>
            <w:r w:rsidRPr="005E2164"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  <w:t>+ 348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  <w:t xml:space="preserve">    + 428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Pr="00923337" w:rsidRDefault="004C1547" w:rsidP="00923337">
            <w:pPr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</w:pPr>
            <w:r w:rsidRPr="00923337"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  <w:t xml:space="preserve">     +5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Pr="00923337" w:rsidRDefault="004C1547" w:rsidP="00923337">
            <w:pPr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  <w:t xml:space="preserve">    + 505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547" w:rsidRPr="00923337" w:rsidRDefault="004C1547" w:rsidP="00923337">
            <w:pPr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</w:pPr>
          </w:p>
        </w:tc>
      </w:tr>
      <w:tr w:rsidR="004C1547" w:rsidRPr="005E2164" w:rsidTr="004C1547"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2) Toekomstgerichte berekening van het aantal personeelspunten voor </w:t>
            </w:r>
            <w:r w:rsidRPr="005E2164"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</w:tr>
      <w:tr w:rsidR="004C1547" w:rsidRPr="005E2164" w:rsidTr="004C15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Verworven huidige cliënten (voor 2020)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13.732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13.768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13.732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Pr="005E2164" w:rsidRDefault="004C1547" w:rsidP="00780581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13.972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Default="004C1547" w:rsidP="00780581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13.951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547" w:rsidRDefault="004C1547" w:rsidP="00780581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</w:tr>
      <w:tr w:rsidR="004C1547" w:rsidRPr="005E2164" w:rsidTr="004C15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-  vermoedelijk uitstroom (punten) cliënten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  - 28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     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      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7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       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547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</w:tr>
      <w:tr w:rsidR="004C1547" w:rsidRPr="005E2164" w:rsidTr="004C15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+ vermoedelijke instroom (punten) cliënten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 + 55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+ 67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+ 102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Pr="004C1547" w:rsidRDefault="004C1547" w:rsidP="00780581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B45387">
              <w:rPr>
                <w:rFonts w:asciiTheme="minorHAnsi" w:eastAsia="Calibri" w:hAnsiTheme="minorHAnsi"/>
                <w:b/>
                <w:color w:val="FF0000"/>
                <w:sz w:val="22"/>
                <w:szCs w:val="22"/>
                <w:lang w:val="nl-BE" w:eastAsia="nl-BE"/>
              </w:rPr>
              <w:t xml:space="preserve">   </w:t>
            </w:r>
            <w:r w:rsidRPr="004C1547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+   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Pr="004C1547" w:rsidRDefault="004C1547" w:rsidP="00780581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4C1547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       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Pr="00B45387" w:rsidRDefault="004C1547" w:rsidP="00780581">
            <w:pPr>
              <w:rPr>
                <w:rFonts w:asciiTheme="minorHAnsi" w:eastAsia="Calibri" w:hAnsiTheme="minorHAnsi"/>
                <w:b/>
                <w:color w:val="FF0000"/>
                <w:sz w:val="22"/>
                <w:szCs w:val="22"/>
                <w:lang w:val="nl-BE" w:eastAsia="nl-BE"/>
              </w:rPr>
            </w:pPr>
          </w:p>
        </w:tc>
      </w:tr>
      <w:tr w:rsidR="004C1547" w:rsidRPr="005E2164" w:rsidTr="004C1547">
        <w:trPr>
          <w:trHeight w:val="5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8F6973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+ Open plaatsen (wordt maar 2° helft jaar bekeken)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8F6973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8F6973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////////////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8F6973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////////////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Default="004C1547" w:rsidP="008F6973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/////////////</w:t>
            </w:r>
          </w:p>
          <w:p w:rsidR="004C1547" w:rsidRPr="005E2164" w:rsidRDefault="004C1547" w:rsidP="008F6973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/////////////</w:t>
            </w:r>
          </w:p>
          <w:p w:rsidR="004C1547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</w:tr>
      <w:tr w:rsidR="004C1547" w:rsidRPr="005E2164" w:rsidTr="004C15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Totaal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13.759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13.835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13.834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Pr="005E2164" w:rsidRDefault="004C1547" w:rsidP="00780581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14.009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Default="004C1547" w:rsidP="00780581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13.951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Default="004C1547" w:rsidP="00780581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</w:p>
        </w:tc>
      </w:tr>
      <w:tr w:rsidR="004C1547" w:rsidRPr="005E2164" w:rsidTr="004C15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Resultaat </w:t>
            </w:r>
          </w:p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>(vergelijking met personeelsinzet 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- 123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  </w:t>
            </w:r>
            <w:r w:rsidRPr="005E2164"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  <w:t>- 47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47" w:rsidRPr="005E2164" w:rsidRDefault="004C1547" w:rsidP="005E2164">
            <w:pPr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</w:pPr>
            <w:r w:rsidRPr="005E2164"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  <w:t xml:space="preserve">    - 48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Pr="004C1547" w:rsidRDefault="004C1547" w:rsidP="00780581">
            <w:pPr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</w:pPr>
            <w:r w:rsidRPr="004C1547">
              <w:rPr>
                <w:rFonts w:asciiTheme="minorHAnsi" w:eastAsia="Calibri" w:hAnsiTheme="minorHAnsi"/>
                <w:sz w:val="22"/>
                <w:szCs w:val="22"/>
                <w:lang w:val="nl-BE" w:eastAsia="nl-BE"/>
              </w:rPr>
              <w:t xml:space="preserve">   </w:t>
            </w:r>
            <w:r w:rsidRPr="004C1547"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  <w:t>+ 127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Pr="004C1547" w:rsidRDefault="004C1547" w:rsidP="00780581">
            <w:pPr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</w:pPr>
            <w:r w:rsidRPr="004C1547">
              <w:rPr>
                <w:rFonts w:asciiTheme="minorHAnsi" w:eastAsia="Calibri" w:hAnsiTheme="minorHAnsi"/>
                <w:b/>
                <w:sz w:val="22"/>
                <w:szCs w:val="22"/>
                <w:lang w:val="nl-BE" w:eastAsia="nl-BE"/>
              </w:rPr>
              <w:t xml:space="preserve">      + 69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47" w:rsidRPr="00257657" w:rsidRDefault="004C1547" w:rsidP="00780581">
            <w:pPr>
              <w:rPr>
                <w:rFonts w:asciiTheme="minorHAnsi" w:eastAsia="Calibri" w:hAnsiTheme="minorHAnsi"/>
                <w:b/>
                <w:color w:val="FF0000"/>
                <w:sz w:val="22"/>
                <w:szCs w:val="22"/>
                <w:lang w:val="nl-BE" w:eastAsia="nl-BE"/>
              </w:rPr>
            </w:pPr>
          </w:p>
        </w:tc>
      </w:tr>
    </w:tbl>
    <w:tbl>
      <w:tblPr>
        <w:tblW w:w="1390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2069"/>
        <w:gridCol w:w="1392"/>
        <w:gridCol w:w="2381"/>
        <w:gridCol w:w="2194"/>
        <w:gridCol w:w="2244"/>
        <w:gridCol w:w="2155"/>
      </w:tblGrid>
      <w:tr w:rsidR="007300F3" w:rsidRPr="007300F3" w:rsidTr="007300F3">
        <w:trPr>
          <w:trHeight w:val="29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</w:tr>
      <w:tr w:rsidR="007300F3" w:rsidRPr="007300F3" w:rsidTr="007300F3">
        <w:trPr>
          <w:trHeight w:val="290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C227CE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Restpunten</w:t>
            </w:r>
            <w:r w:rsidR="007300F3"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 xml:space="preserve"> tot en met eind december 2019</w:t>
            </w:r>
            <w:r w:rsidR="006D714C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 xml:space="preserve"> (*)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Eigenaar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Fulltime eenheden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Inzet punten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restpunten eind maart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restpunten eind juni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restpunten eind sept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restpunten eind dec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DIR ALG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11,95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967,05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11,39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23,28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33,52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44,57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DIR AL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19,29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1270,21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16,07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47,32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73,62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107,97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INFRA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9,09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564,70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10,99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18,49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20,87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18,05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HOTEL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22,84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1325,57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-0,71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20,42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37,46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51,83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DIR ZA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13,51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1168,82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21,69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59,77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96,45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107,31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ZWALM 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49,62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3432,08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31,85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52,84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32,35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23,80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ZWALM 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42,50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2951,57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24,76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68,13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47,46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1,22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DIVA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18,28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1283,05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34,21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60,58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73,37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71,80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KLUISB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47,23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3263,77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36,44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83,55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61,17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31,43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NAH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13,59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907,39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11,10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21,64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23,64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24,39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totaal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247,88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17 134,22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197,77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456,01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499,92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  <w:r w:rsidRPr="007300F3"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  <w:t>482,38</w:t>
            </w:r>
          </w:p>
        </w:tc>
      </w:tr>
      <w:tr w:rsidR="007300F3" w:rsidRPr="007300F3" w:rsidTr="007300F3">
        <w:trPr>
          <w:trHeight w:val="29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300F3" w:rsidRPr="007300F3" w:rsidRDefault="007300F3" w:rsidP="007300F3">
            <w:pPr>
              <w:rPr>
                <w:rFonts w:asciiTheme="minorHAnsi" w:eastAsia="Calibri" w:hAnsiTheme="minorHAnsi"/>
                <w:sz w:val="22"/>
                <w:szCs w:val="22"/>
                <w:lang w:val="nl-BE" w:eastAsia="en-US"/>
              </w:rPr>
            </w:pPr>
          </w:p>
        </w:tc>
      </w:tr>
    </w:tbl>
    <w:p w:rsidR="007300F3" w:rsidRDefault="007300F3" w:rsidP="005E2164">
      <w:pPr>
        <w:rPr>
          <w:rFonts w:asciiTheme="minorHAnsi" w:eastAsia="Calibri" w:hAnsiTheme="minorHAnsi"/>
          <w:sz w:val="22"/>
          <w:szCs w:val="22"/>
          <w:lang w:val="nl-BE" w:eastAsia="en-US"/>
        </w:rPr>
      </w:pPr>
    </w:p>
    <w:p w:rsidR="007300F3" w:rsidRDefault="006D714C" w:rsidP="007300F3">
      <w:pPr>
        <w:rPr>
          <w:rFonts w:asciiTheme="minorHAnsi" w:eastAsia="Calibri" w:hAnsiTheme="minorHAnsi"/>
          <w:sz w:val="22"/>
          <w:szCs w:val="22"/>
          <w:lang w:val="nl-BE" w:eastAsia="en-US"/>
        </w:rPr>
      </w:pPr>
      <w:r>
        <w:rPr>
          <w:rFonts w:asciiTheme="minorHAnsi" w:eastAsia="Calibri" w:hAnsiTheme="minorHAnsi"/>
          <w:sz w:val="22"/>
          <w:szCs w:val="22"/>
          <w:lang w:val="nl-BE" w:eastAsia="en-US"/>
        </w:rPr>
        <w:t xml:space="preserve">(*) Op de vorige pagina is enkel sprake van de </w:t>
      </w:r>
      <w:proofErr w:type="spellStart"/>
      <w:r>
        <w:rPr>
          <w:rFonts w:asciiTheme="minorHAnsi" w:eastAsia="Calibri" w:hAnsiTheme="minorHAnsi"/>
          <w:sz w:val="22"/>
          <w:szCs w:val="22"/>
          <w:lang w:val="nl-BE" w:eastAsia="en-US"/>
        </w:rPr>
        <w:t>zorggebonden</w:t>
      </w:r>
      <w:proofErr w:type="spellEnd"/>
      <w:r>
        <w:rPr>
          <w:rFonts w:asciiTheme="minorHAnsi" w:eastAsia="Calibri" w:hAnsiTheme="minorHAnsi"/>
          <w:sz w:val="22"/>
          <w:szCs w:val="22"/>
          <w:lang w:val="nl-BE" w:eastAsia="en-US"/>
        </w:rPr>
        <w:t xml:space="preserve"> personeelspunten.</w:t>
      </w:r>
      <w:r>
        <w:rPr>
          <w:rFonts w:asciiTheme="minorHAnsi" w:eastAsia="Calibri" w:hAnsiTheme="minorHAnsi"/>
          <w:sz w:val="22"/>
          <w:szCs w:val="22"/>
          <w:lang w:val="nl-BE" w:eastAsia="en-US"/>
        </w:rPr>
        <w:br/>
        <w:t xml:space="preserve">In dit overzicht is sprake van alle personeelspunten (zowel </w:t>
      </w:r>
      <w:proofErr w:type="spellStart"/>
      <w:r>
        <w:rPr>
          <w:rFonts w:asciiTheme="minorHAnsi" w:eastAsia="Calibri" w:hAnsiTheme="minorHAnsi"/>
          <w:sz w:val="22"/>
          <w:szCs w:val="22"/>
          <w:lang w:val="nl-BE" w:eastAsia="en-US"/>
        </w:rPr>
        <w:t>organisatiegebonden</w:t>
      </w:r>
      <w:proofErr w:type="spellEnd"/>
      <w:r>
        <w:rPr>
          <w:rFonts w:asciiTheme="minorHAnsi" w:eastAsia="Calibri" w:hAnsiTheme="minorHAnsi"/>
          <w:sz w:val="22"/>
          <w:szCs w:val="22"/>
          <w:lang w:val="nl-BE" w:eastAsia="en-US"/>
        </w:rPr>
        <w:t xml:space="preserve"> als </w:t>
      </w:r>
      <w:proofErr w:type="spellStart"/>
      <w:r>
        <w:rPr>
          <w:rFonts w:asciiTheme="minorHAnsi" w:eastAsia="Calibri" w:hAnsiTheme="minorHAnsi"/>
          <w:sz w:val="22"/>
          <w:szCs w:val="22"/>
          <w:lang w:val="nl-BE" w:eastAsia="en-US"/>
        </w:rPr>
        <w:t>zorggebonden</w:t>
      </w:r>
      <w:proofErr w:type="spellEnd"/>
      <w:r>
        <w:rPr>
          <w:rFonts w:asciiTheme="minorHAnsi" w:eastAsia="Calibri" w:hAnsiTheme="minorHAnsi"/>
          <w:sz w:val="22"/>
          <w:szCs w:val="22"/>
          <w:lang w:val="nl-BE" w:eastAsia="en-US"/>
        </w:rPr>
        <w:t>).</w:t>
      </w:r>
      <w:r>
        <w:rPr>
          <w:rFonts w:asciiTheme="minorHAnsi" w:eastAsia="Calibri" w:hAnsiTheme="minorHAnsi"/>
          <w:sz w:val="22"/>
          <w:szCs w:val="22"/>
          <w:lang w:val="nl-BE" w:eastAsia="en-US"/>
        </w:rPr>
        <w:br/>
        <w:t xml:space="preserve">Aangezien de subsidievermindering beide luiken treft (CF2 zit op </w:t>
      </w:r>
      <w:proofErr w:type="spellStart"/>
      <w:r>
        <w:rPr>
          <w:rFonts w:asciiTheme="minorHAnsi" w:eastAsia="Calibri" w:hAnsiTheme="minorHAnsi"/>
          <w:sz w:val="22"/>
          <w:szCs w:val="22"/>
          <w:lang w:val="nl-BE" w:eastAsia="en-US"/>
        </w:rPr>
        <w:t>zorggebonden</w:t>
      </w:r>
      <w:proofErr w:type="spellEnd"/>
      <w:r>
        <w:rPr>
          <w:rFonts w:asciiTheme="minorHAnsi" w:eastAsia="Calibri" w:hAnsiTheme="minorHAnsi"/>
          <w:sz w:val="22"/>
          <w:szCs w:val="22"/>
          <w:lang w:val="nl-BE" w:eastAsia="en-US"/>
        </w:rPr>
        <w:t xml:space="preserve"> punten, de besparing zit op </w:t>
      </w:r>
      <w:proofErr w:type="spellStart"/>
      <w:r>
        <w:rPr>
          <w:rFonts w:asciiTheme="minorHAnsi" w:eastAsia="Calibri" w:hAnsiTheme="minorHAnsi"/>
          <w:sz w:val="22"/>
          <w:szCs w:val="22"/>
          <w:lang w:val="nl-BE" w:eastAsia="en-US"/>
        </w:rPr>
        <w:t>organisatiegebonden</w:t>
      </w:r>
      <w:proofErr w:type="spellEnd"/>
      <w:r>
        <w:rPr>
          <w:rFonts w:asciiTheme="minorHAnsi" w:eastAsia="Calibri" w:hAnsiTheme="minorHAnsi"/>
          <w:sz w:val="22"/>
          <w:szCs w:val="22"/>
          <w:lang w:val="nl-BE" w:eastAsia="en-US"/>
        </w:rPr>
        <w:t xml:space="preserve"> punten)</w:t>
      </w:r>
    </w:p>
    <w:p w:rsidR="006D714C" w:rsidRPr="007300F3" w:rsidRDefault="006D714C" w:rsidP="007300F3">
      <w:pPr>
        <w:rPr>
          <w:rFonts w:asciiTheme="minorHAnsi" w:eastAsia="Calibri" w:hAnsiTheme="minorHAnsi"/>
          <w:sz w:val="22"/>
          <w:szCs w:val="22"/>
          <w:lang w:val="nl-BE" w:eastAsia="en-US"/>
        </w:rPr>
      </w:pPr>
      <w:r>
        <w:rPr>
          <w:rFonts w:asciiTheme="minorHAnsi" w:eastAsia="Calibri" w:hAnsiTheme="minorHAnsi"/>
          <w:sz w:val="22"/>
          <w:szCs w:val="22"/>
          <w:lang w:val="nl-BE" w:eastAsia="en-US"/>
        </w:rPr>
        <w:t>zullen we in de toekomst een overzicht moeten aanreiken dat met het volledig (kosten)plaatje rekening houdt.</w:t>
      </w:r>
    </w:p>
    <w:p w:rsidR="007300F3" w:rsidRPr="007300F3" w:rsidRDefault="007300F3" w:rsidP="007300F3">
      <w:pPr>
        <w:rPr>
          <w:rFonts w:asciiTheme="minorHAnsi" w:eastAsia="Calibri" w:hAnsiTheme="minorHAnsi"/>
          <w:sz w:val="22"/>
          <w:szCs w:val="22"/>
          <w:lang w:val="nl-BE" w:eastAsia="en-US"/>
        </w:rPr>
      </w:pPr>
    </w:p>
    <w:p w:rsidR="007300F3" w:rsidRDefault="007300F3" w:rsidP="007300F3">
      <w:pPr>
        <w:rPr>
          <w:rFonts w:asciiTheme="minorHAnsi" w:eastAsia="Calibri" w:hAnsiTheme="minorHAnsi"/>
          <w:sz w:val="22"/>
          <w:szCs w:val="22"/>
          <w:lang w:val="nl-BE" w:eastAsia="en-US"/>
        </w:rPr>
      </w:pPr>
    </w:p>
    <w:p w:rsidR="005E2164" w:rsidRPr="005E2164" w:rsidRDefault="005E2164" w:rsidP="005E2164">
      <w:pPr>
        <w:spacing w:after="160"/>
        <w:rPr>
          <w:rFonts w:asciiTheme="minorHAnsi" w:eastAsia="Calibri" w:hAnsiTheme="minorHAnsi"/>
          <w:sz w:val="22"/>
          <w:szCs w:val="22"/>
          <w:lang w:val="nl-BE" w:eastAsia="en-US"/>
        </w:rPr>
      </w:pPr>
    </w:p>
    <w:p w:rsidR="004F0054" w:rsidRPr="005E2164" w:rsidRDefault="004F0054" w:rsidP="005E2164">
      <w:pPr>
        <w:pStyle w:val="Geenafstand"/>
        <w:rPr>
          <w:rFonts w:asciiTheme="minorHAnsi" w:hAnsiTheme="minorHAnsi" w:cs="Arial"/>
          <w:color w:val="000000"/>
          <w:lang w:val="nl-BE"/>
        </w:rPr>
      </w:pPr>
    </w:p>
    <w:p w:rsidR="004F0054" w:rsidRPr="005E2164" w:rsidRDefault="004F0054" w:rsidP="00CB078A">
      <w:pPr>
        <w:pStyle w:val="Geenafstand"/>
        <w:jc w:val="center"/>
        <w:rPr>
          <w:rFonts w:asciiTheme="minorHAnsi" w:hAnsiTheme="minorHAnsi" w:cs="Arial"/>
          <w:color w:val="000000"/>
          <w:lang w:val="nl-BE"/>
        </w:rPr>
      </w:pPr>
    </w:p>
    <w:p w:rsidR="0045498A" w:rsidRPr="005E2164" w:rsidRDefault="0045317B" w:rsidP="00CB078A">
      <w:pPr>
        <w:pStyle w:val="Geenafstand"/>
        <w:jc w:val="center"/>
        <w:rPr>
          <w:rFonts w:asciiTheme="minorHAnsi" w:hAnsiTheme="minorHAnsi" w:cs="Arial"/>
          <w:color w:val="000000"/>
          <w:lang w:val="nl-BE"/>
        </w:rPr>
      </w:pPr>
      <w:r w:rsidRPr="005E2164">
        <w:rPr>
          <w:rFonts w:asciiTheme="minorHAnsi" w:hAnsiTheme="minorHAnsi" w:cs="Arial"/>
          <w:color w:val="000000"/>
          <w:lang w:val="nl-BE"/>
        </w:rPr>
        <w:t xml:space="preserve"> </w:t>
      </w:r>
    </w:p>
    <w:p w:rsidR="0045498A" w:rsidRPr="005E2164" w:rsidRDefault="0045498A" w:rsidP="0045498A">
      <w:pPr>
        <w:rPr>
          <w:rFonts w:asciiTheme="minorHAnsi" w:hAnsiTheme="minorHAnsi"/>
          <w:sz w:val="22"/>
          <w:szCs w:val="22"/>
          <w:lang w:val="nl-BE" w:eastAsia="en-US"/>
        </w:rPr>
      </w:pPr>
    </w:p>
    <w:p w:rsidR="004F0054" w:rsidRPr="005E2164" w:rsidRDefault="0045498A" w:rsidP="0045498A">
      <w:pPr>
        <w:tabs>
          <w:tab w:val="left" w:pos="2506"/>
        </w:tabs>
        <w:rPr>
          <w:rFonts w:asciiTheme="minorHAnsi" w:hAnsiTheme="minorHAnsi"/>
          <w:sz w:val="22"/>
          <w:szCs w:val="22"/>
          <w:lang w:val="nl-BE" w:eastAsia="en-US"/>
        </w:rPr>
      </w:pPr>
      <w:bookmarkStart w:id="0" w:name="_GoBack"/>
      <w:bookmarkEnd w:id="0"/>
      <w:r w:rsidRPr="005E2164">
        <w:rPr>
          <w:rFonts w:asciiTheme="minorHAnsi" w:hAnsiTheme="minorHAnsi"/>
          <w:sz w:val="22"/>
          <w:szCs w:val="22"/>
          <w:lang w:val="nl-BE" w:eastAsia="en-US"/>
        </w:rPr>
        <w:tab/>
      </w:r>
    </w:p>
    <w:sectPr w:rsidR="004F0054" w:rsidRPr="005E2164" w:rsidSect="007300F3">
      <w:footerReference w:type="default" r:id="rId7"/>
      <w:headerReference w:type="first" r:id="rId8"/>
      <w:footerReference w:type="first" r:id="rId9"/>
      <w:pgSz w:w="15840" w:h="12240" w:orient="landscape" w:code="1"/>
      <w:pgMar w:top="1797" w:right="1440" w:bottom="1797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72" w:rsidRDefault="00FD3972">
      <w:r>
        <w:separator/>
      </w:r>
    </w:p>
    <w:p w:rsidR="00FD3972" w:rsidRDefault="00FD3972"/>
  </w:endnote>
  <w:endnote w:type="continuationSeparator" w:id="0">
    <w:p w:rsidR="00FD3972" w:rsidRDefault="00FD3972">
      <w:r>
        <w:continuationSeparator/>
      </w:r>
    </w:p>
    <w:p w:rsidR="00FD3972" w:rsidRDefault="00FD3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2E26C5">
      <w:rPr>
        <w:rStyle w:val="Paginanummer"/>
        <w:rFonts w:ascii="Arial" w:hAnsi="Arial" w:cs="Arial"/>
        <w:noProof/>
        <w:sz w:val="16"/>
        <w:szCs w:val="16"/>
      </w:rPr>
      <w:t>2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2E26C5">
      <w:rPr>
        <w:rStyle w:val="Paginanummer"/>
        <w:rFonts w:ascii="Arial" w:hAnsi="Arial" w:cs="Arial"/>
        <w:noProof/>
        <w:sz w:val="16"/>
        <w:szCs w:val="16"/>
      </w:rPr>
      <w:t>2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</w:p>
  <w:p w:rsidR="00326A33" w:rsidRDefault="00326A33"/>
  <w:p w:rsidR="00FD66ED" w:rsidRDefault="00FD66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tab/>
    </w:r>
    <w:r w:rsidRPr="009D031F">
      <w:rPr>
        <w:rFonts w:ascii="Arial" w:hAnsi="Arial" w:cs="Arial"/>
        <w:sz w:val="16"/>
        <w:szCs w:val="16"/>
      </w:rPr>
      <w:t xml:space="preserve">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            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2E26C5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2E26C5">
      <w:rPr>
        <w:rStyle w:val="Paginanummer"/>
        <w:rFonts w:ascii="Arial" w:hAnsi="Arial" w:cs="Arial"/>
        <w:noProof/>
        <w:sz w:val="16"/>
        <w:szCs w:val="16"/>
      </w:rPr>
      <w:t>3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Fonts w:ascii="Arial" w:hAnsi="Arial" w:cs="Arial"/>
        <w:sz w:val="16"/>
        <w:szCs w:val="16"/>
      </w:rPr>
      <w:tab/>
    </w:r>
  </w:p>
  <w:p w:rsidR="00326A33" w:rsidRDefault="00326A33"/>
  <w:p w:rsidR="00FD66ED" w:rsidRDefault="00FD6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72" w:rsidRDefault="00FD3972">
      <w:r>
        <w:separator/>
      </w:r>
    </w:p>
    <w:p w:rsidR="00FD3972" w:rsidRDefault="00FD3972"/>
  </w:footnote>
  <w:footnote w:type="continuationSeparator" w:id="0">
    <w:p w:rsidR="00FD3972" w:rsidRDefault="00FD3972">
      <w:r>
        <w:continuationSeparator/>
      </w:r>
    </w:p>
    <w:p w:rsidR="00FD3972" w:rsidRDefault="00FD39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Default="002E26C5">
    <w:pPr>
      <w:pStyle w:val="Koptekst"/>
    </w:pPr>
    <w:r w:rsidRPr="004D4895">
      <w:rPr>
        <w:rFonts w:ascii="Arial" w:hAnsi="Arial" w:cs="Arial"/>
        <w:noProof/>
        <w:sz w:val="16"/>
        <w:szCs w:val="16"/>
        <w:lang w:val="nl-BE" w:eastAsia="nl-BE"/>
      </w:rPr>
      <w:drawing>
        <wp:anchor distT="0" distB="0" distL="114300" distR="114300" simplePos="0" relativeHeight="251661312" behindDoc="0" locked="0" layoutInCell="1" allowOverlap="1" wp14:anchorId="064132CC" wp14:editId="0E466879">
          <wp:simplePos x="0" y="0"/>
          <wp:positionH relativeFrom="column">
            <wp:posOffset>5412740</wp:posOffset>
          </wp:positionH>
          <wp:positionV relativeFrom="paragraph">
            <wp:posOffset>-344805</wp:posOffset>
          </wp:positionV>
          <wp:extent cx="1524000" cy="895350"/>
          <wp:effectExtent l="19050" t="0" r="0" b="0"/>
          <wp:wrapSquare wrapText="bothSides"/>
          <wp:docPr id="10" name="Afbeelding 10" descr="C:\Users\HDESMET\AppData\Local\Microsoft\Windows\Temporary Internet Files\Content.Outlook\SGCOJ36K\bolster voor hilde zw 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HDESMET\AppData\Local\Microsoft\Windows\Temporary Internet Files\Content.Outlook\SGCOJ36K\bolster voor hilde zw wi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00F3">
      <w:rPr>
        <w:rFonts w:ascii="Arial" w:hAnsi="Arial" w:cs="Arial"/>
        <w:sz w:val="16"/>
        <w:szCs w:val="16"/>
      </w:rPr>
      <w:t xml:space="preserve">Bestuur De Bolster 20.02.2020 </w:t>
    </w:r>
    <w:r w:rsidR="00652480">
      <w:rPr>
        <w:rFonts w:ascii="Arial" w:hAnsi="Arial" w:cs="Arial"/>
        <w:sz w:val="16"/>
        <w:szCs w:val="16"/>
      </w:rPr>
      <w:t xml:space="preserve">– Bijlage </w:t>
    </w:r>
    <w:r w:rsidR="003A51D8">
      <w:rPr>
        <w:rFonts w:ascii="Arial" w:hAnsi="Arial" w:cs="Arial"/>
        <w:sz w:val="16"/>
        <w:szCs w:val="16"/>
      </w:rPr>
      <w:t>20</w:t>
    </w:r>
    <w:r w:rsidR="007300F3">
      <w:rPr>
        <w:rFonts w:ascii="Arial" w:hAnsi="Arial" w:cs="Arial"/>
        <w:sz w:val="16"/>
        <w:szCs w:val="16"/>
      </w:rPr>
      <w:t>20/005</w:t>
    </w:r>
  </w:p>
  <w:p w:rsidR="00326A33" w:rsidRDefault="00326A33"/>
  <w:p w:rsidR="00326A33" w:rsidRDefault="00326A33"/>
  <w:p w:rsidR="00FD66ED" w:rsidRDefault="00FD66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67B"/>
    <w:multiLevelType w:val="hybridMultilevel"/>
    <w:tmpl w:val="015C97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2D09"/>
    <w:multiLevelType w:val="hybridMultilevel"/>
    <w:tmpl w:val="34342B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939"/>
    <w:multiLevelType w:val="hybridMultilevel"/>
    <w:tmpl w:val="96F8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0A1"/>
    <w:multiLevelType w:val="hybridMultilevel"/>
    <w:tmpl w:val="5BA07964"/>
    <w:lvl w:ilvl="0" w:tplc="DC261A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BFB"/>
    <w:multiLevelType w:val="multilevel"/>
    <w:tmpl w:val="5DC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D5352"/>
    <w:multiLevelType w:val="hybridMultilevel"/>
    <w:tmpl w:val="39BC52C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0AAC"/>
    <w:multiLevelType w:val="hybridMultilevel"/>
    <w:tmpl w:val="4BB01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C2558"/>
    <w:multiLevelType w:val="hybridMultilevel"/>
    <w:tmpl w:val="851AC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96E85"/>
    <w:multiLevelType w:val="hybridMultilevel"/>
    <w:tmpl w:val="EDCEA236"/>
    <w:lvl w:ilvl="0" w:tplc="7204774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13A95"/>
    <w:multiLevelType w:val="hybridMultilevel"/>
    <w:tmpl w:val="6976612A"/>
    <w:lvl w:ilvl="0" w:tplc="EBACD35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36CF4"/>
    <w:multiLevelType w:val="hybridMultilevel"/>
    <w:tmpl w:val="5F2A241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717E49"/>
    <w:multiLevelType w:val="hybridMultilevel"/>
    <w:tmpl w:val="0008A5D0"/>
    <w:lvl w:ilvl="0" w:tplc="EA52F8A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61B7E"/>
    <w:multiLevelType w:val="hybridMultilevel"/>
    <w:tmpl w:val="E882758A"/>
    <w:lvl w:ilvl="0" w:tplc="E83CC7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B7"/>
    <w:rsid w:val="00003ACD"/>
    <w:rsid w:val="00006267"/>
    <w:rsid w:val="00006A23"/>
    <w:rsid w:val="0001215F"/>
    <w:rsid w:val="0001387A"/>
    <w:rsid w:val="00024927"/>
    <w:rsid w:val="000302F3"/>
    <w:rsid w:val="00031BA1"/>
    <w:rsid w:val="00040662"/>
    <w:rsid w:val="00041A63"/>
    <w:rsid w:val="000428C0"/>
    <w:rsid w:val="00043495"/>
    <w:rsid w:val="00054856"/>
    <w:rsid w:val="00054A85"/>
    <w:rsid w:val="00080097"/>
    <w:rsid w:val="00081692"/>
    <w:rsid w:val="0009585F"/>
    <w:rsid w:val="00097EA8"/>
    <w:rsid w:val="000B177D"/>
    <w:rsid w:val="000C59CD"/>
    <w:rsid w:val="000C7770"/>
    <w:rsid w:val="000D2825"/>
    <w:rsid w:val="000E172B"/>
    <w:rsid w:val="000F4B6A"/>
    <w:rsid w:val="000F4EC9"/>
    <w:rsid w:val="000F6BC9"/>
    <w:rsid w:val="00100075"/>
    <w:rsid w:val="0010225E"/>
    <w:rsid w:val="00105DBA"/>
    <w:rsid w:val="001244BB"/>
    <w:rsid w:val="00126310"/>
    <w:rsid w:val="0014243F"/>
    <w:rsid w:val="00145C3D"/>
    <w:rsid w:val="00160ECD"/>
    <w:rsid w:val="00162CF8"/>
    <w:rsid w:val="0016779A"/>
    <w:rsid w:val="001703F0"/>
    <w:rsid w:val="00171FF5"/>
    <w:rsid w:val="00183C21"/>
    <w:rsid w:val="001861E4"/>
    <w:rsid w:val="00186EDA"/>
    <w:rsid w:val="001B4515"/>
    <w:rsid w:val="001B64C2"/>
    <w:rsid w:val="001C35DE"/>
    <w:rsid w:val="001D2653"/>
    <w:rsid w:val="001D5B73"/>
    <w:rsid w:val="001E0577"/>
    <w:rsid w:val="001F12AF"/>
    <w:rsid w:val="001F19AA"/>
    <w:rsid w:val="001F385E"/>
    <w:rsid w:val="001F3CBF"/>
    <w:rsid w:val="0021773E"/>
    <w:rsid w:val="002215CB"/>
    <w:rsid w:val="0022271A"/>
    <w:rsid w:val="002246E8"/>
    <w:rsid w:val="00225FAE"/>
    <w:rsid w:val="00235237"/>
    <w:rsid w:val="00236758"/>
    <w:rsid w:val="00243698"/>
    <w:rsid w:val="0024731C"/>
    <w:rsid w:val="00253E10"/>
    <w:rsid w:val="00256A84"/>
    <w:rsid w:val="00257657"/>
    <w:rsid w:val="00260C59"/>
    <w:rsid w:val="002614B9"/>
    <w:rsid w:val="00271E2B"/>
    <w:rsid w:val="0028356F"/>
    <w:rsid w:val="00294427"/>
    <w:rsid w:val="002956D0"/>
    <w:rsid w:val="002B40A9"/>
    <w:rsid w:val="002C0612"/>
    <w:rsid w:val="002C2049"/>
    <w:rsid w:val="002D353B"/>
    <w:rsid w:val="002E23AF"/>
    <w:rsid w:val="002E26C5"/>
    <w:rsid w:val="002E29E5"/>
    <w:rsid w:val="002F2114"/>
    <w:rsid w:val="002F4213"/>
    <w:rsid w:val="003003A1"/>
    <w:rsid w:val="00300B66"/>
    <w:rsid w:val="00305BB1"/>
    <w:rsid w:val="003137CA"/>
    <w:rsid w:val="003146D0"/>
    <w:rsid w:val="0031507F"/>
    <w:rsid w:val="00315547"/>
    <w:rsid w:val="0031654A"/>
    <w:rsid w:val="00326A33"/>
    <w:rsid w:val="00330425"/>
    <w:rsid w:val="00334FA0"/>
    <w:rsid w:val="00336AF0"/>
    <w:rsid w:val="00340EC2"/>
    <w:rsid w:val="00346F37"/>
    <w:rsid w:val="00362454"/>
    <w:rsid w:val="003730AB"/>
    <w:rsid w:val="003842BD"/>
    <w:rsid w:val="0038733F"/>
    <w:rsid w:val="00394807"/>
    <w:rsid w:val="003A51D8"/>
    <w:rsid w:val="003B189E"/>
    <w:rsid w:val="003D4447"/>
    <w:rsid w:val="003D763E"/>
    <w:rsid w:val="003E7CE1"/>
    <w:rsid w:val="003F0E2B"/>
    <w:rsid w:val="003F4E9A"/>
    <w:rsid w:val="003F757D"/>
    <w:rsid w:val="004133AE"/>
    <w:rsid w:val="00426BDC"/>
    <w:rsid w:val="0045317B"/>
    <w:rsid w:val="0045498A"/>
    <w:rsid w:val="00455A51"/>
    <w:rsid w:val="004677D1"/>
    <w:rsid w:val="00473D3A"/>
    <w:rsid w:val="0047607A"/>
    <w:rsid w:val="00477D5A"/>
    <w:rsid w:val="0048251E"/>
    <w:rsid w:val="004871F0"/>
    <w:rsid w:val="004928EA"/>
    <w:rsid w:val="004931BA"/>
    <w:rsid w:val="004A69E7"/>
    <w:rsid w:val="004B2801"/>
    <w:rsid w:val="004B6B90"/>
    <w:rsid w:val="004C1505"/>
    <w:rsid w:val="004C1547"/>
    <w:rsid w:val="004C5BB8"/>
    <w:rsid w:val="004D17CD"/>
    <w:rsid w:val="004D4895"/>
    <w:rsid w:val="004E4109"/>
    <w:rsid w:val="004F0054"/>
    <w:rsid w:val="004F4737"/>
    <w:rsid w:val="004F47E8"/>
    <w:rsid w:val="004F68CE"/>
    <w:rsid w:val="004F6B8A"/>
    <w:rsid w:val="00501C83"/>
    <w:rsid w:val="00516BD9"/>
    <w:rsid w:val="00525AB8"/>
    <w:rsid w:val="005306AB"/>
    <w:rsid w:val="00531B35"/>
    <w:rsid w:val="00531BA1"/>
    <w:rsid w:val="00532217"/>
    <w:rsid w:val="00532404"/>
    <w:rsid w:val="00537760"/>
    <w:rsid w:val="005409B7"/>
    <w:rsid w:val="0055257A"/>
    <w:rsid w:val="00572CD0"/>
    <w:rsid w:val="00583F92"/>
    <w:rsid w:val="00585B1E"/>
    <w:rsid w:val="005860F5"/>
    <w:rsid w:val="005903FA"/>
    <w:rsid w:val="00592903"/>
    <w:rsid w:val="00595B1C"/>
    <w:rsid w:val="005A0EF8"/>
    <w:rsid w:val="005B0161"/>
    <w:rsid w:val="005B246B"/>
    <w:rsid w:val="005C0ED0"/>
    <w:rsid w:val="005E2164"/>
    <w:rsid w:val="005E751B"/>
    <w:rsid w:val="005F0044"/>
    <w:rsid w:val="005F4AEF"/>
    <w:rsid w:val="00612BA6"/>
    <w:rsid w:val="00626CBF"/>
    <w:rsid w:val="00631C16"/>
    <w:rsid w:val="00635E9B"/>
    <w:rsid w:val="00640D43"/>
    <w:rsid w:val="00652480"/>
    <w:rsid w:val="0066663A"/>
    <w:rsid w:val="0067165E"/>
    <w:rsid w:val="00672CF5"/>
    <w:rsid w:val="006743C8"/>
    <w:rsid w:val="00685EF4"/>
    <w:rsid w:val="00690E8A"/>
    <w:rsid w:val="00691A57"/>
    <w:rsid w:val="006930CD"/>
    <w:rsid w:val="006B368A"/>
    <w:rsid w:val="006B4E7C"/>
    <w:rsid w:val="006C27E6"/>
    <w:rsid w:val="006D3986"/>
    <w:rsid w:val="006D714C"/>
    <w:rsid w:val="006E499D"/>
    <w:rsid w:val="006E63A6"/>
    <w:rsid w:val="006F1B4F"/>
    <w:rsid w:val="00716911"/>
    <w:rsid w:val="007300F3"/>
    <w:rsid w:val="00747C80"/>
    <w:rsid w:val="00762086"/>
    <w:rsid w:val="00772DE1"/>
    <w:rsid w:val="00773137"/>
    <w:rsid w:val="00780581"/>
    <w:rsid w:val="007823D4"/>
    <w:rsid w:val="0078487B"/>
    <w:rsid w:val="0078585E"/>
    <w:rsid w:val="007B11AD"/>
    <w:rsid w:val="007B3D86"/>
    <w:rsid w:val="007C1370"/>
    <w:rsid w:val="007C5C02"/>
    <w:rsid w:val="007C799F"/>
    <w:rsid w:val="007D4C32"/>
    <w:rsid w:val="007D6EBC"/>
    <w:rsid w:val="007E652D"/>
    <w:rsid w:val="007E7796"/>
    <w:rsid w:val="007F0DF4"/>
    <w:rsid w:val="007F2D9E"/>
    <w:rsid w:val="00807C1A"/>
    <w:rsid w:val="00810513"/>
    <w:rsid w:val="00811D3D"/>
    <w:rsid w:val="00823B37"/>
    <w:rsid w:val="0082452A"/>
    <w:rsid w:val="00841D81"/>
    <w:rsid w:val="008435EA"/>
    <w:rsid w:val="00857861"/>
    <w:rsid w:val="008877D2"/>
    <w:rsid w:val="0089319F"/>
    <w:rsid w:val="00895177"/>
    <w:rsid w:val="008A0365"/>
    <w:rsid w:val="008A677A"/>
    <w:rsid w:val="008A7872"/>
    <w:rsid w:val="008B5189"/>
    <w:rsid w:val="008C68FD"/>
    <w:rsid w:val="008D57BA"/>
    <w:rsid w:val="008E62DC"/>
    <w:rsid w:val="008F09E2"/>
    <w:rsid w:val="008F1F00"/>
    <w:rsid w:val="008F6973"/>
    <w:rsid w:val="00905FCA"/>
    <w:rsid w:val="009144F9"/>
    <w:rsid w:val="00923337"/>
    <w:rsid w:val="00927423"/>
    <w:rsid w:val="00932167"/>
    <w:rsid w:val="00953DAF"/>
    <w:rsid w:val="00955066"/>
    <w:rsid w:val="00956ED3"/>
    <w:rsid w:val="0096189D"/>
    <w:rsid w:val="009654A4"/>
    <w:rsid w:val="00971F41"/>
    <w:rsid w:val="00972E20"/>
    <w:rsid w:val="00984FE9"/>
    <w:rsid w:val="00987281"/>
    <w:rsid w:val="009A45CB"/>
    <w:rsid w:val="009B14BC"/>
    <w:rsid w:val="009B2CB5"/>
    <w:rsid w:val="009C76D2"/>
    <w:rsid w:val="009D017D"/>
    <w:rsid w:val="009D031F"/>
    <w:rsid w:val="009E3931"/>
    <w:rsid w:val="009F07A0"/>
    <w:rsid w:val="009F2A6C"/>
    <w:rsid w:val="009F2DAA"/>
    <w:rsid w:val="00A00D31"/>
    <w:rsid w:val="00A026BF"/>
    <w:rsid w:val="00A06E89"/>
    <w:rsid w:val="00A16E40"/>
    <w:rsid w:val="00A23FEA"/>
    <w:rsid w:val="00A251AE"/>
    <w:rsid w:val="00A35E6C"/>
    <w:rsid w:val="00A50C36"/>
    <w:rsid w:val="00A53BF0"/>
    <w:rsid w:val="00A62460"/>
    <w:rsid w:val="00A67F29"/>
    <w:rsid w:val="00A71B35"/>
    <w:rsid w:val="00A74027"/>
    <w:rsid w:val="00A7647B"/>
    <w:rsid w:val="00A809C3"/>
    <w:rsid w:val="00A85001"/>
    <w:rsid w:val="00A92DDC"/>
    <w:rsid w:val="00A9313F"/>
    <w:rsid w:val="00A95123"/>
    <w:rsid w:val="00A959B9"/>
    <w:rsid w:val="00A95DBB"/>
    <w:rsid w:val="00AA5715"/>
    <w:rsid w:val="00AB0378"/>
    <w:rsid w:val="00AB2FED"/>
    <w:rsid w:val="00AC0758"/>
    <w:rsid w:val="00AC6C8C"/>
    <w:rsid w:val="00AD1F78"/>
    <w:rsid w:val="00AF301C"/>
    <w:rsid w:val="00AF4955"/>
    <w:rsid w:val="00B071FB"/>
    <w:rsid w:val="00B236DE"/>
    <w:rsid w:val="00B43043"/>
    <w:rsid w:val="00B45387"/>
    <w:rsid w:val="00B460E9"/>
    <w:rsid w:val="00B54D9E"/>
    <w:rsid w:val="00B5702D"/>
    <w:rsid w:val="00B71283"/>
    <w:rsid w:val="00B72B1D"/>
    <w:rsid w:val="00B73333"/>
    <w:rsid w:val="00B7466B"/>
    <w:rsid w:val="00B75E70"/>
    <w:rsid w:val="00B84268"/>
    <w:rsid w:val="00BA178B"/>
    <w:rsid w:val="00BA6302"/>
    <w:rsid w:val="00BC4817"/>
    <w:rsid w:val="00BD4F62"/>
    <w:rsid w:val="00BD7A48"/>
    <w:rsid w:val="00BE1E66"/>
    <w:rsid w:val="00BE4FB7"/>
    <w:rsid w:val="00BF4323"/>
    <w:rsid w:val="00C07D48"/>
    <w:rsid w:val="00C122DF"/>
    <w:rsid w:val="00C17E1B"/>
    <w:rsid w:val="00C227CE"/>
    <w:rsid w:val="00C448CB"/>
    <w:rsid w:val="00C51041"/>
    <w:rsid w:val="00C56323"/>
    <w:rsid w:val="00C62EB2"/>
    <w:rsid w:val="00C63A46"/>
    <w:rsid w:val="00C63D5D"/>
    <w:rsid w:val="00C63DB9"/>
    <w:rsid w:val="00C72777"/>
    <w:rsid w:val="00C73D36"/>
    <w:rsid w:val="00C80CD2"/>
    <w:rsid w:val="00C838D1"/>
    <w:rsid w:val="00C876E8"/>
    <w:rsid w:val="00C936E8"/>
    <w:rsid w:val="00CA084C"/>
    <w:rsid w:val="00CA5973"/>
    <w:rsid w:val="00CB078A"/>
    <w:rsid w:val="00CC33BA"/>
    <w:rsid w:val="00CC4E00"/>
    <w:rsid w:val="00CC5674"/>
    <w:rsid w:val="00CD332D"/>
    <w:rsid w:val="00CD530B"/>
    <w:rsid w:val="00CE7124"/>
    <w:rsid w:val="00CF3E0F"/>
    <w:rsid w:val="00D0166E"/>
    <w:rsid w:val="00D0365F"/>
    <w:rsid w:val="00D15949"/>
    <w:rsid w:val="00D16999"/>
    <w:rsid w:val="00D22BD7"/>
    <w:rsid w:val="00D25FCA"/>
    <w:rsid w:val="00D31407"/>
    <w:rsid w:val="00D36F68"/>
    <w:rsid w:val="00D44E2A"/>
    <w:rsid w:val="00D467D6"/>
    <w:rsid w:val="00D47F9F"/>
    <w:rsid w:val="00D5007B"/>
    <w:rsid w:val="00D561AA"/>
    <w:rsid w:val="00D61EC3"/>
    <w:rsid w:val="00D64D5D"/>
    <w:rsid w:val="00D730DF"/>
    <w:rsid w:val="00D84D30"/>
    <w:rsid w:val="00D853DC"/>
    <w:rsid w:val="00D8572F"/>
    <w:rsid w:val="00D87D98"/>
    <w:rsid w:val="00D9762B"/>
    <w:rsid w:val="00DA2E18"/>
    <w:rsid w:val="00DB074B"/>
    <w:rsid w:val="00DD7885"/>
    <w:rsid w:val="00DE5FC3"/>
    <w:rsid w:val="00DF0BF4"/>
    <w:rsid w:val="00E04D02"/>
    <w:rsid w:val="00E1114B"/>
    <w:rsid w:val="00E11CE4"/>
    <w:rsid w:val="00E13110"/>
    <w:rsid w:val="00E20DA7"/>
    <w:rsid w:val="00E32F52"/>
    <w:rsid w:val="00E42A85"/>
    <w:rsid w:val="00E46A5B"/>
    <w:rsid w:val="00E52C7E"/>
    <w:rsid w:val="00E577DF"/>
    <w:rsid w:val="00E66B19"/>
    <w:rsid w:val="00E82567"/>
    <w:rsid w:val="00E84029"/>
    <w:rsid w:val="00E85FDA"/>
    <w:rsid w:val="00E9533D"/>
    <w:rsid w:val="00EC17CF"/>
    <w:rsid w:val="00EC69E2"/>
    <w:rsid w:val="00ED0221"/>
    <w:rsid w:val="00ED2FB8"/>
    <w:rsid w:val="00ED5922"/>
    <w:rsid w:val="00ED6E60"/>
    <w:rsid w:val="00EE7100"/>
    <w:rsid w:val="00F10CB0"/>
    <w:rsid w:val="00F12336"/>
    <w:rsid w:val="00F15692"/>
    <w:rsid w:val="00F2439C"/>
    <w:rsid w:val="00F3058D"/>
    <w:rsid w:val="00F35461"/>
    <w:rsid w:val="00F507CA"/>
    <w:rsid w:val="00F52CAD"/>
    <w:rsid w:val="00F55EBE"/>
    <w:rsid w:val="00F56115"/>
    <w:rsid w:val="00F64648"/>
    <w:rsid w:val="00F701D2"/>
    <w:rsid w:val="00F7603C"/>
    <w:rsid w:val="00F765C4"/>
    <w:rsid w:val="00F806C7"/>
    <w:rsid w:val="00F836EE"/>
    <w:rsid w:val="00F8371E"/>
    <w:rsid w:val="00F86551"/>
    <w:rsid w:val="00FA1AE9"/>
    <w:rsid w:val="00FA46E3"/>
    <w:rsid w:val="00FB3482"/>
    <w:rsid w:val="00FC7740"/>
    <w:rsid w:val="00FD0653"/>
    <w:rsid w:val="00FD3972"/>
    <w:rsid w:val="00FD66ED"/>
    <w:rsid w:val="00FD74D7"/>
    <w:rsid w:val="00FE186C"/>
    <w:rsid w:val="00FE74BD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docId w15:val="{6EE50769-F444-4B13-A000-5598658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9B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356F"/>
    <w:pPr>
      <w:keepNext/>
      <w:tabs>
        <w:tab w:val="left" w:pos="2410"/>
        <w:tab w:val="left" w:pos="4678"/>
        <w:tab w:val="left" w:pos="7088"/>
      </w:tabs>
      <w:outlineLvl w:val="0"/>
    </w:pPr>
    <w:rPr>
      <w:rFonts w:ascii="Arial" w:hAnsi="Arial"/>
      <w:b/>
      <w:sz w:val="22"/>
      <w:szCs w:val="20"/>
    </w:rPr>
  </w:style>
  <w:style w:type="paragraph" w:styleId="Kop2">
    <w:name w:val="heading 2"/>
    <w:basedOn w:val="Standaard"/>
    <w:next w:val="Standaard"/>
    <w:link w:val="Kop2Char"/>
    <w:qFormat/>
    <w:rsid w:val="002835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409B7"/>
    <w:pPr>
      <w:tabs>
        <w:tab w:val="center" w:pos="4703"/>
        <w:tab w:val="right" w:pos="9406"/>
      </w:tabs>
    </w:pPr>
  </w:style>
  <w:style w:type="paragraph" w:styleId="Voettekst">
    <w:name w:val="footer"/>
    <w:aliases w:val="VAPH - Voettekst"/>
    <w:basedOn w:val="Standaard"/>
    <w:link w:val="VoettekstChar"/>
    <w:rsid w:val="005409B7"/>
    <w:pPr>
      <w:tabs>
        <w:tab w:val="center" w:pos="4703"/>
        <w:tab w:val="right" w:pos="9406"/>
      </w:tabs>
    </w:pPr>
  </w:style>
  <w:style w:type="paragraph" w:customStyle="1" w:styleId="Geenafstand1">
    <w:name w:val="Geen afstand1"/>
    <w:qFormat/>
    <w:rsid w:val="00A95123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FA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903FA"/>
    <w:rPr>
      <w:rFonts w:ascii="Calibri" w:eastAsia="Calibri" w:hAnsi="Calibri"/>
      <w:sz w:val="22"/>
      <w:szCs w:val="22"/>
      <w:lang w:val="en-US" w:eastAsia="en-US"/>
    </w:rPr>
  </w:style>
  <w:style w:type="character" w:customStyle="1" w:styleId="content1">
    <w:name w:val="content1"/>
    <w:basedOn w:val="Standaardalinea-lettertype"/>
    <w:rsid w:val="005903FA"/>
    <w:rPr>
      <w:color w:val="666633"/>
      <w:sz w:val="15"/>
      <w:szCs w:val="15"/>
    </w:rPr>
  </w:style>
  <w:style w:type="character" w:styleId="Paginanummer">
    <w:name w:val="page number"/>
    <w:basedOn w:val="Standaardalinea-lettertype"/>
    <w:rsid w:val="009D031F"/>
  </w:style>
  <w:style w:type="paragraph" w:styleId="Lijstalinea">
    <w:name w:val="List Paragraph"/>
    <w:basedOn w:val="Standaard"/>
    <w:qFormat/>
    <w:rsid w:val="003F7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Standaardalinea-lettertype"/>
    <w:rsid w:val="009B2CB5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28356F"/>
    <w:rPr>
      <w:rFonts w:ascii="Cambria" w:hAnsi="Cambria"/>
      <w:b/>
      <w:bCs/>
      <w:i/>
      <w:iCs/>
      <w:sz w:val="28"/>
      <w:szCs w:val="28"/>
      <w:lang w:val="nl-NL" w:eastAsia="nl-NL" w:bidi="ar-SA"/>
    </w:rPr>
  </w:style>
  <w:style w:type="character" w:styleId="Nadruk">
    <w:name w:val="Emphasis"/>
    <w:basedOn w:val="Standaardalinea-lettertype"/>
    <w:qFormat/>
    <w:rsid w:val="0028356F"/>
    <w:rPr>
      <w:i/>
      <w:iCs/>
    </w:rPr>
  </w:style>
  <w:style w:type="character" w:customStyle="1" w:styleId="VoettekstChar">
    <w:name w:val="Voettekst Char"/>
    <w:aliases w:val="VAPH - Voettekst Char"/>
    <w:basedOn w:val="Standaardalinea-lettertype"/>
    <w:link w:val="Voettekst"/>
    <w:semiHidden/>
    <w:rsid w:val="00A06E89"/>
    <w:rPr>
      <w:sz w:val="24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rsid w:val="001F1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19AA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E216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RAAD VAN BESTUUR dd</vt:lpstr>
    </vt:vector>
  </TitlesOfParts>
  <Company>Mariaheem vzw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RAAD VAN BESTUUR dd</dc:title>
  <dc:creator>Hilde De Smet</dc:creator>
  <cp:lastModifiedBy>Geert Bonte</cp:lastModifiedBy>
  <cp:revision>60</cp:revision>
  <cp:lastPrinted>2017-10-12T08:05:00Z</cp:lastPrinted>
  <dcterms:created xsi:type="dcterms:W3CDTF">2012-09-19T07:48:00Z</dcterms:created>
  <dcterms:modified xsi:type="dcterms:W3CDTF">2020-02-07T13:12:00Z</dcterms:modified>
</cp:coreProperties>
</file>